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2EA5B"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79D59081"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111590D7"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036231D8"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691EE59C"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615B9013"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10B31327"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40F28860"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3366901C"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00B355B9"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7AEC3B9F" w14:textId="77777777" w:rsidR="009B28F2" w:rsidRPr="00BE72C0" w:rsidRDefault="009B28F2" w:rsidP="00BE72C0">
      <w:pPr>
        <w:spacing w:line="480" w:lineRule="auto"/>
        <w:contextualSpacing/>
        <w:jc w:val="center"/>
        <w:rPr>
          <w:rFonts w:ascii="Times New Roman" w:hAnsi="Times New Roman" w:cs="Times New Roman"/>
          <w:sz w:val="24"/>
          <w:szCs w:val="24"/>
        </w:rPr>
      </w:pPr>
    </w:p>
    <w:p w14:paraId="53B8436A" w14:textId="77777777" w:rsidR="00A90D9C" w:rsidRPr="00BE72C0" w:rsidRDefault="009B28F2" w:rsidP="00BE72C0">
      <w:pPr>
        <w:spacing w:line="480" w:lineRule="auto"/>
        <w:contextualSpacing/>
        <w:jc w:val="center"/>
        <w:rPr>
          <w:rFonts w:ascii="Times New Roman" w:hAnsi="Times New Roman" w:cs="Times New Roman"/>
          <w:sz w:val="24"/>
          <w:szCs w:val="24"/>
        </w:rPr>
      </w:pPr>
      <w:r w:rsidRPr="00BE72C0">
        <w:rPr>
          <w:rFonts w:ascii="Times New Roman" w:hAnsi="Times New Roman" w:cs="Times New Roman"/>
          <w:sz w:val="24"/>
          <w:szCs w:val="24"/>
        </w:rPr>
        <w:t>Terry V. Ohio</w:t>
      </w:r>
    </w:p>
    <w:p w14:paraId="5EFF1A3D" w14:textId="77777777" w:rsidR="00A90D9C" w:rsidRPr="00BE72C0" w:rsidRDefault="009B28F2" w:rsidP="00BE72C0">
      <w:pPr>
        <w:spacing w:line="480" w:lineRule="auto"/>
        <w:contextualSpacing/>
        <w:jc w:val="center"/>
        <w:rPr>
          <w:rFonts w:ascii="Times New Roman" w:hAnsi="Times New Roman" w:cs="Times New Roman"/>
          <w:sz w:val="24"/>
          <w:szCs w:val="24"/>
        </w:rPr>
      </w:pPr>
      <w:r w:rsidRPr="00BE72C0">
        <w:rPr>
          <w:rFonts w:ascii="Times New Roman" w:hAnsi="Times New Roman" w:cs="Times New Roman"/>
          <w:sz w:val="24"/>
          <w:szCs w:val="24"/>
        </w:rPr>
        <w:t>Student’s Name</w:t>
      </w:r>
    </w:p>
    <w:p w14:paraId="7B9E831A" w14:textId="77777777" w:rsidR="009B28F2" w:rsidRPr="00BE72C0" w:rsidRDefault="009B28F2" w:rsidP="00BE72C0">
      <w:pPr>
        <w:spacing w:line="480" w:lineRule="auto"/>
        <w:contextualSpacing/>
        <w:jc w:val="center"/>
        <w:rPr>
          <w:rFonts w:ascii="Times New Roman" w:hAnsi="Times New Roman" w:cs="Times New Roman"/>
          <w:sz w:val="24"/>
          <w:szCs w:val="24"/>
        </w:rPr>
      </w:pPr>
      <w:r w:rsidRPr="00BE72C0">
        <w:rPr>
          <w:rFonts w:ascii="Times New Roman" w:hAnsi="Times New Roman" w:cs="Times New Roman"/>
          <w:sz w:val="24"/>
          <w:szCs w:val="24"/>
        </w:rPr>
        <w:t>Institutional Affiliation</w:t>
      </w:r>
    </w:p>
    <w:p w14:paraId="0B1880B3" w14:textId="77777777" w:rsidR="00A90D9C" w:rsidRDefault="00A90D9C" w:rsidP="00E12662">
      <w:pPr>
        <w:spacing w:line="480" w:lineRule="auto"/>
        <w:contextualSpacing/>
        <w:rPr>
          <w:rFonts w:ascii="Times New Roman" w:hAnsi="Times New Roman" w:cs="Times New Roman"/>
          <w:sz w:val="24"/>
          <w:szCs w:val="24"/>
        </w:rPr>
      </w:pPr>
    </w:p>
    <w:p w14:paraId="460DF711" w14:textId="77777777" w:rsidR="00E12662" w:rsidRDefault="00E12662" w:rsidP="00E12662">
      <w:pPr>
        <w:spacing w:line="480" w:lineRule="auto"/>
        <w:contextualSpacing/>
        <w:rPr>
          <w:rFonts w:ascii="Times New Roman" w:hAnsi="Times New Roman" w:cs="Times New Roman"/>
          <w:sz w:val="24"/>
          <w:szCs w:val="24"/>
        </w:rPr>
      </w:pPr>
    </w:p>
    <w:p w14:paraId="20CC2F2E" w14:textId="77777777" w:rsidR="00E12662" w:rsidRDefault="00E12662" w:rsidP="00E12662">
      <w:pPr>
        <w:spacing w:line="480" w:lineRule="auto"/>
        <w:contextualSpacing/>
        <w:rPr>
          <w:rFonts w:ascii="Times New Roman" w:hAnsi="Times New Roman" w:cs="Times New Roman"/>
          <w:sz w:val="24"/>
          <w:szCs w:val="24"/>
        </w:rPr>
      </w:pPr>
    </w:p>
    <w:p w14:paraId="543AAFAE" w14:textId="77777777" w:rsidR="00E12662" w:rsidRDefault="00E12662" w:rsidP="00E12662">
      <w:pPr>
        <w:spacing w:line="480" w:lineRule="auto"/>
        <w:contextualSpacing/>
        <w:rPr>
          <w:rFonts w:ascii="Times New Roman" w:hAnsi="Times New Roman" w:cs="Times New Roman"/>
          <w:sz w:val="24"/>
          <w:szCs w:val="24"/>
        </w:rPr>
      </w:pPr>
    </w:p>
    <w:p w14:paraId="6A729A59" w14:textId="77777777" w:rsidR="00E12662" w:rsidRDefault="00E12662" w:rsidP="00E12662">
      <w:pPr>
        <w:spacing w:line="480" w:lineRule="auto"/>
        <w:contextualSpacing/>
        <w:rPr>
          <w:rFonts w:ascii="Times New Roman" w:hAnsi="Times New Roman" w:cs="Times New Roman"/>
          <w:sz w:val="24"/>
          <w:szCs w:val="24"/>
        </w:rPr>
      </w:pPr>
    </w:p>
    <w:p w14:paraId="49983700" w14:textId="77777777" w:rsidR="00E12662" w:rsidRDefault="00E12662" w:rsidP="00E12662">
      <w:pPr>
        <w:spacing w:line="480" w:lineRule="auto"/>
        <w:contextualSpacing/>
        <w:rPr>
          <w:rFonts w:ascii="Times New Roman" w:hAnsi="Times New Roman" w:cs="Times New Roman"/>
          <w:sz w:val="24"/>
          <w:szCs w:val="24"/>
        </w:rPr>
      </w:pPr>
    </w:p>
    <w:p w14:paraId="6F82DFB3" w14:textId="77777777" w:rsidR="00E12662" w:rsidRDefault="00E12662" w:rsidP="00E12662">
      <w:pPr>
        <w:spacing w:line="480" w:lineRule="auto"/>
        <w:contextualSpacing/>
        <w:rPr>
          <w:rFonts w:ascii="Times New Roman" w:hAnsi="Times New Roman" w:cs="Times New Roman"/>
          <w:sz w:val="24"/>
          <w:szCs w:val="24"/>
        </w:rPr>
      </w:pPr>
    </w:p>
    <w:p w14:paraId="0ACCDB07" w14:textId="77777777" w:rsidR="00E12662" w:rsidRPr="00BE72C0" w:rsidRDefault="00E12662" w:rsidP="00E12662">
      <w:pPr>
        <w:spacing w:line="480" w:lineRule="auto"/>
        <w:contextualSpacing/>
        <w:rPr>
          <w:rFonts w:ascii="Times New Roman" w:hAnsi="Times New Roman" w:cs="Times New Roman"/>
          <w:sz w:val="24"/>
          <w:szCs w:val="24"/>
        </w:rPr>
      </w:pPr>
    </w:p>
    <w:p w14:paraId="6FFB5EE7" w14:textId="77777777" w:rsidR="000B0B9E" w:rsidRPr="00BE72C0" w:rsidRDefault="000B0B9E" w:rsidP="00BE72C0">
      <w:pPr>
        <w:spacing w:line="480" w:lineRule="auto"/>
        <w:contextualSpacing/>
        <w:rPr>
          <w:rFonts w:ascii="Times New Roman" w:hAnsi="Times New Roman" w:cs="Times New Roman"/>
          <w:b/>
          <w:sz w:val="24"/>
          <w:szCs w:val="24"/>
        </w:rPr>
      </w:pPr>
    </w:p>
    <w:p w14:paraId="1974A913" w14:textId="77777777" w:rsidR="00A90D9C" w:rsidRPr="00BE72C0" w:rsidRDefault="00A90D9C" w:rsidP="00BE72C0">
      <w:pPr>
        <w:spacing w:line="480" w:lineRule="auto"/>
        <w:contextualSpacing/>
        <w:jc w:val="center"/>
        <w:rPr>
          <w:rFonts w:ascii="Times New Roman" w:hAnsi="Times New Roman" w:cs="Times New Roman"/>
          <w:b/>
          <w:sz w:val="24"/>
          <w:szCs w:val="24"/>
        </w:rPr>
      </w:pPr>
      <w:r w:rsidRPr="00BE72C0">
        <w:rPr>
          <w:rFonts w:ascii="Times New Roman" w:hAnsi="Times New Roman" w:cs="Times New Roman"/>
          <w:b/>
          <w:sz w:val="24"/>
          <w:szCs w:val="24"/>
        </w:rPr>
        <w:lastRenderedPageBreak/>
        <w:t>Terry v. Ohio</w:t>
      </w:r>
    </w:p>
    <w:p w14:paraId="2B86F9C6" w14:textId="77777777" w:rsidR="000B0B9E" w:rsidRPr="00BE72C0" w:rsidRDefault="000B0B9E"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Summary of Case Facts</w:t>
      </w:r>
    </w:p>
    <w:p w14:paraId="7428D96C"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Terry V. Ohio is a 1968 US Supreme court decision that affirmed that it is not against the constitution when a police officer decides to stop a person randomly and frisk them because they have a reasonable belief that the individual</w:t>
      </w:r>
      <w:r w:rsidR="00C31452">
        <w:rPr>
          <w:rFonts w:ascii="Times New Roman" w:hAnsi="Times New Roman" w:cs="Times New Roman"/>
          <w:sz w:val="24"/>
          <w:szCs w:val="24"/>
        </w:rPr>
        <w:t xml:space="preserve"> is a suspect</w:t>
      </w:r>
      <w:r w:rsidRPr="00BE72C0">
        <w:rPr>
          <w:rFonts w:ascii="Times New Roman" w:hAnsi="Times New Roman" w:cs="Times New Roman"/>
          <w:sz w:val="24"/>
          <w:szCs w:val="24"/>
        </w:rPr>
        <w:t xml:space="preserve"> Moreover, </w:t>
      </w:r>
      <w:r w:rsidR="00C31452">
        <w:rPr>
          <w:rFonts w:ascii="Times New Roman" w:hAnsi="Times New Roman" w:cs="Times New Roman"/>
          <w:sz w:val="24"/>
          <w:szCs w:val="24"/>
        </w:rPr>
        <w:t xml:space="preserve">it </w:t>
      </w:r>
      <w:r w:rsidRPr="00BE72C0">
        <w:rPr>
          <w:rFonts w:ascii="Times New Roman" w:hAnsi="Times New Roman" w:cs="Times New Roman"/>
          <w:sz w:val="24"/>
          <w:szCs w:val="24"/>
        </w:rPr>
        <w:t xml:space="preserve">is no against the fourth amendment which explains about the safeguard against unreasonable seizure or search. </w:t>
      </w:r>
    </w:p>
    <w:p w14:paraId="5E2A02C9" w14:textId="77777777" w:rsidR="000B0B9E" w:rsidRPr="00B53D2E" w:rsidRDefault="000B0B9E" w:rsidP="00BE72C0">
      <w:pPr>
        <w:spacing w:after="0" w:line="480" w:lineRule="auto"/>
        <w:ind w:firstLine="720"/>
        <w:contextualSpacing/>
        <w:rPr>
          <w:rFonts w:ascii="Times New Roman" w:hAnsi="Times New Roman" w:cs="Times New Roman"/>
          <w:sz w:val="24"/>
          <w:szCs w:val="24"/>
          <w:highlight w:val="yellow"/>
        </w:rPr>
      </w:pPr>
      <w:r w:rsidRPr="00B53D2E">
        <w:rPr>
          <w:rFonts w:ascii="Times New Roman" w:hAnsi="Times New Roman" w:cs="Times New Roman"/>
          <w:sz w:val="24"/>
          <w:szCs w:val="24"/>
          <w:highlight w:val="yellow"/>
        </w:rPr>
        <w:t>Question of Law before the case</w:t>
      </w:r>
    </w:p>
    <w:p w14:paraId="0CB9D148" w14:textId="77777777" w:rsidR="000B0B9E" w:rsidRPr="00B53D2E" w:rsidRDefault="000B0B9E" w:rsidP="00BE72C0">
      <w:pPr>
        <w:spacing w:after="0" w:line="480" w:lineRule="auto"/>
        <w:ind w:firstLine="720"/>
        <w:contextualSpacing/>
        <w:rPr>
          <w:rFonts w:ascii="Times New Roman" w:hAnsi="Times New Roman" w:cs="Times New Roman"/>
          <w:sz w:val="24"/>
          <w:szCs w:val="24"/>
          <w:highlight w:val="yellow"/>
        </w:rPr>
      </w:pPr>
      <w:r w:rsidRPr="00B53D2E">
        <w:rPr>
          <w:rFonts w:ascii="Times New Roman" w:hAnsi="Times New Roman" w:cs="Times New Roman"/>
          <w:sz w:val="24"/>
          <w:szCs w:val="24"/>
          <w:highlight w:val="yellow"/>
        </w:rPr>
        <w:t xml:space="preserve">Whether the </w:t>
      </w:r>
      <w:r w:rsidR="00BE72C0" w:rsidRPr="00B53D2E">
        <w:rPr>
          <w:rFonts w:ascii="Times New Roman" w:hAnsi="Times New Roman" w:cs="Times New Roman"/>
          <w:sz w:val="24"/>
          <w:szCs w:val="24"/>
          <w:highlight w:val="yellow"/>
        </w:rPr>
        <w:t>“</w:t>
      </w:r>
      <w:r w:rsidRPr="00B53D2E">
        <w:rPr>
          <w:rFonts w:ascii="Times New Roman" w:hAnsi="Times New Roman" w:cs="Times New Roman"/>
          <w:sz w:val="24"/>
          <w:szCs w:val="24"/>
          <w:highlight w:val="yellow"/>
        </w:rPr>
        <w:t>stop</w:t>
      </w:r>
      <w:r w:rsidR="00BE72C0" w:rsidRPr="00B53D2E">
        <w:rPr>
          <w:rFonts w:ascii="Times New Roman" w:hAnsi="Times New Roman" w:cs="Times New Roman"/>
          <w:sz w:val="24"/>
          <w:szCs w:val="24"/>
          <w:highlight w:val="yellow"/>
        </w:rPr>
        <w:t>”</w:t>
      </w:r>
      <w:r w:rsidRPr="00B53D2E">
        <w:rPr>
          <w:rFonts w:ascii="Times New Roman" w:hAnsi="Times New Roman" w:cs="Times New Roman"/>
          <w:sz w:val="24"/>
          <w:szCs w:val="24"/>
          <w:highlight w:val="yellow"/>
        </w:rPr>
        <w:t xml:space="preserve"> and </w:t>
      </w:r>
      <w:r w:rsidR="00BE72C0" w:rsidRPr="00B53D2E">
        <w:rPr>
          <w:rFonts w:ascii="Times New Roman" w:hAnsi="Times New Roman" w:cs="Times New Roman"/>
          <w:sz w:val="24"/>
          <w:szCs w:val="24"/>
          <w:highlight w:val="yellow"/>
        </w:rPr>
        <w:t>“</w:t>
      </w:r>
      <w:r w:rsidRPr="00B53D2E">
        <w:rPr>
          <w:rFonts w:ascii="Times New Roman" w:hAnsi="Times New Roman" w:cs="Times New Roman"/>
          <w:sz w:val="24"/>
          <w:szCs w:val="24"/>
          <w:highlight w:val="yellow"/>
        </w:rPr>
        <w:t>frisk</w:t>
      </w:r>
      <w:r w:rsidR="00BE72C0" w:rsidRPr="00B53D2E">
        <w:rPr>
          <w:rFonts w:ascii="Times New Roman" w:hAnsi="Times New Roman" w:cs="Times New Roman"/>
          <w:sz w:val="24"/>
          <w:szCs w:val="24"/>
          <w:highlight w:val="yellow"/>
        </w:rPr>
        <w:t>” tactic</w:t>
      </w:r>
      <w:r w:rsidRPr="00B53D2E">
        <w:rPr>
          <w:rFonts w:ascii="Times New Roman" w:hAnsi="Times New Roman" w:cs="Times New Roman"/>
          <w:sz w:val="24"/>
          <w:szCs w:val="24"/>
          <w:highlight w:val="yellow"/>
        </w:rPr>
        <w:t xml:space="preserve"> is violation of the fourth Amendment</w:t>
      </w:r>
    </w:p>
    <w:p w14:paraId="4F9E7F16" w14:textId="77777777" w:rsidR="000B0B9E" w:rsidRPr="00B53D2E" w:rsidRDefault="000B0B9E" w:rsidP="00BE72C0">
      <w:pPr>
        <w:spacing w:after="0" w:line="480" w:lineRule="auto"/>
        <w:ind w:firstLine="720"/>
        <w:contextualSpacing/>
        <w:rPr>
          <w:rFonts w:ascii="Times New Roman" w:hAnsi="Times New Roman" w:cs="Times New Roman"/>
          <w:sz w:val="24"/>
          <w:szCs w:val="24"/>
          <w:highlight w:val="yellow"/>
        </w:rPr>
      </w:pPr>
      <w:r w:rsidRPr="00B53D2E">
        <w:rPr>
          <w:rFonts w:ascii="Times New Roman" w:hAnsi="Times New Roman" w:cs="Times New Roman"/>
          <w:sz w:val="24"/>
          <w:szCs w:val="24"/>
          <w:highlight w:val="yellow"/>
        </w:rPr>
        <w:t>Ruling and question of law</w:t>
      </w:r>
    </w:p>
    <w:p w14:paraId="0E7E5739" w14:textId="77777777" w:rsidR="000B0B9E" w:rsidRPr="00BE72C0" w:rsidRDefault="000B0B9E" w:rsidP="00BE72C0">
      <w:pPr>
        <w:spacing w:after="0" w:line="480" w:lineRule="auto"/>
        <w:ind w:firstLine="720"/>
        <w:contextualSpacing/>
        <w:rPr>
          <w:rFonts w:ascii="Times New Roman" w:hAnsi="Times New Roman" w:cs="Times New Roman"/>
          <w:sz w:val="24"/>
          <w:szCs w:val="24"/>
        </w:rPr>
      </w:pPr>
      <w:r w:rsidRPr="00B53D2E">
        <w:rPr>
          <w:rFonts w:ascii="Times New Roman" w:hAnsi="Times New Roman" w:cs="Times New Roman"/>
          <w:sz w:val="24"/>
          <w:szCs w:val="24"/>
          <w:highlight w:val="yellow"/>
        </w:rPr>
        <w:t>Provided the officer has reasonable doubt to suspect an individual, they can do a “Stop” and “Frisk”.</w:t>
      </w:r>
      <w:r w:rsidRPr="00BE72C0">
        <w:rPr>
          <w:rFonts w:ascii="Times New Roman" w:hAnsi="Times New Roman" w:cs="Times New Roman"/>
          <w:sz w:val="24"/>
          <w:szCs w:val="24"/>
        </w:rPr>
        <w:t xml:space="preserve"> </w:t>
      </w:r>
    </w:p>
    <w:p w14:paraId="1FE4CC39"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Case details</w:t>
      </w:r>
    </w:p>
    <w:p w14:paraId="277B681F"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In October 1963, a Cleveland officer, McFadden, on patrol in plain clothes noted three men were walking along the same route </w:t>
      </w:r>
      <w:r w:rsidRPr="00B53D2E">
        <w:rPr>
          <w:rFonts w:ascii="Times New Roman" w:hAnsi="Times New Roman" w:cs="Times New Roman"/>
          <w:sz w:val="24"/>
          <w:szCs w:val="24"/>
          <w:highlight w:val="yellow"/>
        </w:rPr>
        <w:t>severally</w:t>
      </w:r>
      <w:r w:rsidRPr="00BE72C0">
        <w:rPr>
          <w:rFonts w:ascii="Times New Roman" w:hAnsi="Times New Roman" w:cs="Times New Roman"/>
          <w:sz w:val="24"/>
          <w:szCs w:val="24"/>
        </w:rPr>
        <w:t>, and pausing to look in the same store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 xml:space="preserve">Terry v. </w:t>
      </w:r>
      <w:r w:rsidR="00BE72C0" w:rsidRPr="00BE72C0">
        <w:rPr>
          <w:rFonts w:ascii="Times New Roman" w:hAnsi="Times New Roman" w:cs="Times New Roman"/>
          <w:sz w:val="24"/>
          <w:szCs w:val="24"/>
          <w:shd w:val="clear" w:color="auto" w:fill="FFFFFF"/>
        </w:rPr>
        <w:t>Ohio,</w:t>
      </w:r>
      <w:r w:rsidR="000F5171" w:rsidRPr="00BE72C0">
        <w:rPr>
          <w:rFonts w:ascii="Times New Roman" w:hAnsi="Times New Roman" w:cs="Times New Roman"/>
          <w:sz w:val="24"/>
          <w:szCs w:val="24"/>
          <w:shd w:val="clear" w:color="auto" w:fill="FFFFFF"/>
        </w:rPr>
        <w:t xml:space="preserve"> 2019)</w:t>
      </w:r>
      <w:r w:rsidRPr="00BE72C0">
        <w:rPr>
          <w:rFonts w:ascii="Times New Roman" w:hAnsi="Times New Roman" w:cs="Times New Roman"/>
          <w:sz w:val="24"/>
          <w:szCs w:val="24"/>
        </w:rPr>
        <w:t xml:space="preserve">. He suspected they could be up to some mischief. Mr. McFadden identified himself as a policeman and asked their names. </w:t>
      </w:r>
      <w:r w:rsidRPr="00B53D2E">
        <w:rPr>
          <w:rFonts w:ascii="Times New Roman" w:hAnsi="Times New Roman" w:cs="Times New Roman"/>
          <w:sz w:val="24"/>
          <w:szCs w:val="24"/>
          <w:highlight w:val="yellow"/>
        </w:rPr>
        <w:t>McFadden did a search on the two entirely to the minimally necessary requirements to help him note if the suspects were and to take the weapons in case he found any, after frisking the McFadden found John W. Terry and Richard Chilton with guns and charged the two with possession of concealed weapons.</w:t>
      </w:r>
      <w:r w:rsidRPr="00BE72C0">
        <w:rPr>
          <w:rFonts w:ascii="Times New Roman" w:hAnsi="Times New Roman" w:cs="Times New Roman"/>
          <w:sz w:val="24"/>
          <w:szCs w:val="24"/>
        </w:rPr>
        <w:t xml:space="preserve"> The officer did not do a comprehensive search for the evidence of criminal activity he found.</w:t>
      </w:r>
    </w:p>
    <w:p w14:paraId="445636B1"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The court ruled that the weapons were enough evidence for the officer to believe that the suspects were acting suspiciously. The petitioners appealed in the Supreme court, which also affirmed that the guns should be admissible. Nonetheless, the supreme court did not oppose the notion that stop and frisk did not implicate the fourth amendment protections on unreasonable seizures or searches. Although an officer is required to have a search warrant before the seizure, the court stated that this procedure is not applicable always, because in some instances they need to make a quick decision.</w:t>
      </w:r>
    </w:p>
    <w:p w14:paraId="3A7CFE71"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Impact of the court's ruling</w:t>
      </w:r>
    </w:p>
    <w:p w14:paraId="6839FC3B"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The ruling in Terry v. Ohio still hold, and police do not have to delay commencing investigation action until the crime happens. The operation in some instances entails officers stopping, questioning and frisking people provided that they have enough reason to suspect the individual of a biased act. Markedly, this tactic if stop, question, and frisk helped in reducing the crime rate in cities around the United States during the nineties. For instance, New York City had a record of 2,200 homicide cases in 1990, and twenty-five years later, the rate had decreased to 350, with the most significant decrease happening in mid-nineties</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The stop and frisk tactic </w:t>
      </w:r>
      <w:r w:rsidR="00826BC6" w:rsidRPr="00BE72C0">
        <w:rPr>
          <w:rFonts w:ascii="Times New Roman" w:hAnsi="Times New Roman" w:cs="Times New Roman"/>
          <w:sz w:val="24"/>
          <w:szCs w:val="24"/>
        </w:rPr>
        <w:t>were</w:t>
      </w:r>
      <w:r w:rsidRPr="00BE72C0">
        <w:rPr>
          <w:rFonts w:ascii="Times New Roman" w:hAnsi="Times New Roman" w:cs="Times New Roman"/>
          <w:sz w:val="24"/>
          <w:szCs w:val="24"/>
        </w:rPr>
        <w:t xml:space="preserve"> a key part of the broader strategy that was used by the police to decrease homicide cases. </w:t>
      </w:r>
    </w:p>
    <w:p w14:paraId="138E52B5"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53D2E">
        <w:rPr>
          <w:rFonts w:ascii="Times New Roman" w:hAnsi="Times New Roman" w:cs="Times New Roman"/>
          <w:sz w:val="24"/>
          <w:szCs w:val="24"/>
          <w:highlight w:val="yellow"/>
        </w:rPr>
        <w:t>Additionally, the decision resulted in an increase in transaction costs of criminals transacting illicit or counter brand products making the dealers conduct most of their transactions indoors.</w:t>
      </w:r>
      <w:r w:rsidRPr="00BE72C0">
        <w:rPr>
          <w:rFonts w:ascii="Times New Roman" w:hAnsi="Times New Roman" w:cs="Times New Roman"/>
          <w:sz w:val="24"/>
          <w:szCs w:val="24"/>
        </w:rPr>
        <w:t xml:space="preserve"> Therefore, this made the streets and other public places safe.</w:t>
      </w:r>
    </w:p>
    <w:p w14:paraId="5607931D"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There was a claim in NY where a federal judge raised concern about police only using the stop and frisk policy in the neighborhoods mainly occupied by minorities</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Newberry, 2017)</w:t>
      </w:r>
      <w:r w:rsidRPr="00BE72C0">
        <w:rPr>
          <w:rFonts w:ascii="Times New Roman" w:hAnsi="Times New Roman" w:cs="Times New Roman"/>
          <w:sz w:val="24"/>
          <w:szCs w:val="24"/>
        </w:rPr>
        <w:t xml:space="preserve">. The mayor reformed the policy to settle any pending cases on that notion. However, this did not term the stop and frisk as </w:t>
      </w:r>
      <w:r w:rsidR="00E12662" w:rsidRPr="00BE72C0">
        <w:rPr>
          <w:rFonts w:ascii="Times New Roman" w:hAnsi="Times New Roman" w:cs="Times New Roman"/>
          <w:sz w:val="24"/>
          <w:szCs w:val="24"/>
        </w:rPr>
        <w:t>unconstitutional;</w:t>
      </w:r>
      <w:r w:rsidRPr="00BE72C0">
        <w:rPr>
          <w:rFonts w:ascii="Times New Roman" w:hAnsi="Times New Roman" w:cs="Times New Roman"/>
          <w:sz w:val="24"/>
          <w:szCs w:val="24"/>
        </w:rPr>
        <w:t xml:space="preserve"> but instead, the method being used by NY police to implement it was the illegal part. </w:t>
      </w:r>
    </w:p>
    <w:p w14:paraId="7BA3A390"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Controversies surrounding the case</w:t>
      </w:r>
    </w:p>
    <w:p w14:paraId="4FC6B7F5"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The case on Terry v. Ohio was controversial because of several reasons. First, the court explained that McFadden had enough reasons to suspect that the three were about to conduct a crime, thus the officer was reasonable enough to suspect the three could be dangerous or even armed. However, prior to the officer feeling a gun through the defendants' clothes, the only evidence he had of a crime being planned or having taken place was based on suspicion. Thus, it can raise the question of up to what level the Fourth Amendment protects individuals on the road.</w:t>
      </w:r>
    </w:p>
    <w:p w14:paraId="158C1A88" w14:textId="77777777" w:rsidR="00E05DD0" w:rsidRPr="00BE72C0" w:rsidRDefault="00E05DD0" w:rsidP="00E12662">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Additionally, it can be controversial as to whether there is a difference between a "stop" and an "arrest search, "between a "search" and a "frisk." Furthermore, it is not clear as to what suspicion is just a probable cause or reasonable enough. </w:t>
      </w:r>
      <w:r w:rsidRPr="00B53D2E">
        <w:rPr>
          <w:rFonts w:ascii="Times New Roman" w:hAnsi="Times New Roman" w:cs="Times New Roman"/>
          <w:sz w:val="24"/>
          <w:szCs w:val="24"/>
          <w:highlight w:val="yellow"/>
        </w:rPr>
        <w:t>For instance, in the case of Terry v. Ohio. It is unclear whether the weapons were inadmissible in court.</w:t>
      </w:r>
    </w:p>
    <w:p w14:paraId="3AE295CB"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Scholarly Analysis </w:t>
      </w:r>
    </w:p>
    <w:p w14:paraId="2199640A"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For a police officer to decide to seize and search a person, </w:t>
      </w:r>
      <w:r w:rsidRPr="00B53D2E">
        <w:rPr>
          <w:rFonts w:ascii="Times New Roman" w:hAnsi="Times New Roman" w:cs="Times New Roman"/>
          <w:sz w:val="24"/>
          <w:szCs w:val="24"/>
          <w:highlight w:val="yellow"/>
        </w:rPr>
        <w:t>he must be having enough</w:t>
      </w:r>
      <w:r w:rsidRPr="00BE72C0">
        <w:rPr>
          <w:rFonts w:ascii="Times New Roman" w:hAnsi="Times New Roman" w:cs="Times New Roman"/>
          <w:sz w:val="24"/>
          <w:szCs w:val="24"/>
        </w:rPr>
        <w:t xml:space="preserve"> reason to suspect that person. In this case, Terry and his counterpart were armed and dangerous, thus it was important for the police to take swift measures for him to understand the facts of the situation but at the same time protecting himself from any danger</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However, this does not mean that any unusual conduct that an officer sees means the suspect is </w:t>
      </w:r>
      <w:r w:rsidR="00826BC6" w:rsidRPr="00BE72C0">
        <w:rPr>
          <w:rFonts w:ascii="Times New Roman" w:hAnsi="Times New Roman" w:cs="Times New Roman"/>
          <w:sz w:val="24"/>
          <w:szCs w:val="24"/>
        </w:rPr>
        <w:t>armed or</w:t>
      </w:r>
      <w:r w:rsidRPr="00BE72C0">
        <w:rPr>
          <w:rFonts w:ascii="Times New Roman" w:hAnsi="Times New Roman" w:cs="Times New Roman"/>
          <w:sz w:val="24"/>
          <w:szCs w:val="24"/>
        </w:rPr>
        <w:t xml:space="preserve"> dangerous. Police are allowed by the constitution to search the outer clothing of a suspect with the aim of finding any hidden weapons for the officer's protection or other citizens around. Such frisking is </w:t>
      </w:r>
      <w:r w:rsidRPr="0051076F">
        <w:rPr>
          <w:rFonts w:ascii="Times New Roman" w:hAnsi="Times New Roman" w:cs="Times New Roman"/>
          <w:sz w:val="24"/>
          <w:szCs w:val="24"/>
          <w:highlight w:val="yellow"/>
        </w:rPr>
        <w:t>permit</w:t>
      </w:r>
      <w:r w:rsidR="0051076F" w:rsidRPr="0051076F">
        <w:rPr>
          <w:rFonts w:ascii="Times New Roman" w:hAnsi="Times New Roman" w:cs="Times New Roman"/>
          <w:sz w:val="24"/>
          <w:szCs w:val="24"/>
          <w:highlight w:val="yellow"/>
        </w:rPr>
        <w:t>table</w:t>
      </w:r>
      <w:r w:rsidRPr="00BE72C0">
        <w:rPr>
          <w:rFonts w:ascii="Times New Roman" w:hAnsi="Times New Roman" w:cs="Times New Roman"/>
          <w:sz w:val="24"/>
          <w:szCs w:val="24"/>
        </w:rPr>
        <w:t xml:space="preserve"> in the fourth amendment, and in case a weapon is seized </w:t>
      </w:r>
      <w:r w:rsidRPr="00B53D2E">
        <w:rPr>
          <w:rFonts w:ascii="Times New Roman" w:hAnsi="Times New Roman" w:cs="Times New Roman"/>
          <w:sz w:val="24"/>
          <w:szCs w:val="24"/>
          <w:highlight w:val="yellow"/>
        </w:rPr>
        <w:t>during the such</w:t>
      </w:r>
      <w:r w:rsidRPr="00BE72C0">
        <w:rPr>
          <w:rFonts w:ascii="Times New Roman" w:hAnsi="Times New Roman" w:cs="Times New Roman"/>
          <w:sz w:val="24"/>
          <w:szCs w:val="24"/>
        </w:rPr>
        <w:t>, it can be used as evidence against the person in the court of law</w:t>
      </w:r>
    </w:p>
    <w:p w14:paraId="149F9E90"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However, there are counter-arguments that Stop and Frisk is a policy which gives police officers more power than a magistrate, meaning that American courts have taken a very extensive move down the totalitarian path</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Cooper,2019)</w:t>
      </w:r>
      <w:r w:rsidRPr="00BE72C0">
        <w:rPr>
          <w:rFonts w:ascii="Times New Roman" w:hAnsi="Times New Roman" w:cs="Times New Roman"/>
          <w:sz w:val="24"/>
          <w:szCs w:val="24"/>
        </w:rPr>
        <w:t xml:space="preserve">. Although this step is applicable in handling modern forms of lawlessness, </w:t>
      </w:r>
      <w:r w:rsidRPr="00B53D2E">
        <w:rPr>
          <w:rFonts w:ascii="Times New Roman" w:hAnsi="Times New Roman" w:cs="Times New Roman"/>
          <w:sz w:val="24"/>
          <w:szCs w:val="24"/>
          <w:highlight w:val="yellow"/>
        </w:rPr>
        <w:t>it should have been taken through willingly choice of citizens</w:t>
      </w:r>
      <w:r w:rsidRPr="00BE72C0">
        <w:rPr>
          <w:rFonts w:ascii="Times New Roman" w:hAnsi="Times New Roman" w:cs="Times New Roman"/>
          <w:sz w:val="24"/>
          <w:szCs w:val="24"/>
        </w:rPr>
        <w:t xml:space="preserve"> through an amendment of the constitution. Although there have been several instances during American history when the court has had to overlook constitutional guarantees and give the police officers a priority, this is probably the greatest of all such scenarios. </w:t>
      </w:r>
      <w:r w:rsidRPr="00B53D2E">
        <w:rPr>
          <w:rFonts w:ascii="Times New Roman" w:hAnsi="Times New Roman" w:cs="Times New Roman"/>
          <w:sz w:val="24"/>
          <w:szCs w:val="24"/>
          <w:highlight w:val="yellow"/>
        </w:rPr>
        <w:t xml:space="preserve">However, a situation whereby police are allowed to be sovereign, and they have a right to stop someone anytime they feel that he or she is suspicious as per their discretion is a decision that should have been made through a debate which entailed all </w:t>
      </w:r>
      <w:r w:rsidR="00E12662" w:rsidRPr="00B53D2E">
        <w:rPr>
          <w:rFonts w:ascii="Times New Roman" w:hAnsi="Times New Roman" w:cs="Times New Roman"/>
          <w:sz w:val="24"/>
          <w:szCs w:val="24"/>
          <w:highlight w:val="yellow"/>
        </w:rPr>
        <w:t xml:space="preserve">citizens </w:t>
      </w:r>
      <w:r w:rsidR="00F65E26" w:rsidRPr="00B53D2E">
        <w:rPr>
          <w:rFonts w:ascii="Times New Roman" w:hAnsi="Times New Roman" w:cs="Times New Roman"/>
          <w:sz w:val="24"/>
          <w:szCs w:val="24"/>
          <w:highlight w:val="yellow"/>
        </w:rPr>
        <w:t>(</w:t>
      </w:r>
      <w:r w:rsidR="00F65E26" w:rsidRPr="00B53D2E">
        <w:rPr>
          <w:rFonts w:ascii="Times New Roman" w:hAnsi="Times New Roman" w:cs="Times New Roman"/>
          <w:sz w:val="24"/>
          <w:szCs w:val="24"/>
          <w:highlight w:val="yellow"/>
          <w:shd w:val="clear" w:color="auto" w:fill="FFFFFF"/>
        </w:rPr>
        <w:t>Stoughton, 2017)</w:t>
      </w:r>
      <w:r w:rsidRPr="00B53D2E">
        <w:rPr>
          <w:rFonts w:ascii="Times New Roman" w:hAnsi="Times New Roman" w:cs="Times New Roman"/>
          <w:sz w:val="24"/>
          <w:szCs w:val="24"/>
          <w:highlight w:val="yellow"/>
        </w:rPr>
        <w:t>.</w:t>
      </w:r>
      <w:r w:rsidRPr="00BE72C0">
        <w:rPr>
          <w:rFonts w:ascii="Times New Roman" w:hAnsi="Times New Roman" w:cs="Times New Roman"/>
          <w:sz w:val="24"/>
          <w:szCs w:val="24"/>
        </w:rPr>
        <w:t xml:space="preserve"> Although the rule positively improved </w:t>
      </w:r>
      <w:r w:rsidRPr="00197BA0">
        <w:rPr>
          <w:rFonts w:ascii="Times New Roman" w:hAnsi="Times New Roman" w:cs="Times New Roman"/>
          <w:sz w:val="24"/>
          <w:szCs w:val="24"/>
          <w:highlight w:val="yellow"/>
        </w:rPr>
        <w:t>the ability of pollute investigating</w:t>
      </w:r>
      <w:r w:rsidRPr="00BE72C0">
        <w:rPr>
          <w:rFonts w:ascii="Times New Roman" w:hAnsi="Times New Roman" w:cs="Times New Roman"/>
          <w:sz w:val="24"/>
          <w:szCs w:val="24"/>
        </w:rPr>
        <w:t xml:space="preserve"> suspicious occurrences, it is still an issue of debate as to whether this tactic is a threat to liberty or a good strategy to fight crimes.</w:t>
      </w:r>
    </w:p>
    <w:p w14:paraId="4A92C65D"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Moreover, from the NY debate, it is evident that the police can easily abuse this power </w:t>
      </w:r>
      <w:r w:rsidRPr="00197BA0">
        <w:rPr>
          <w:rFonts w:ascii="Times New Roman" w:hAnsi="Times New Roman" w:cs="Times New Roman"/>
          <w:sz w:val="24"/>
          <w:szCs w:val="24"/>
          <w:highlight w:val="yellow"/>
        </w:rPr>
        <w:t>printed to</w:t>
      </w:r>
      <w:r w:rsidRPr="00BE72C0">
        <w:rPr>
          <w:rFonts w:ascii="Times New Roman" w:hAnsi="Times New Roman" w:cs="Times New Roman"/>
          <w:sz w:val="24"/>
          <w:szCs w:val="24"/>
        </w:rPr>
        <w:t xml:space="preserve"> them. The police officers can target minority groups or neighborhoods with little or no justification. Moreover, this tactic is amongst the main factors that expose </w:t>
      </w:r>
      <w:r w:rsidRPr="00197BA0">
        <w:rPr>
          <w:rFonts w:ascii="Times New Roman" w:hAnsi="Times New Roman" w:cs="Times New Roman"/>
          <w:sz w:val="24"/>
          <w:szCs w:val="24"/>
          <w:highlight w:val="yellow"/>
        </w:rPr>
        <w:t>Africa Americans to violence</w:t>
      </w:r>
      <w:r w:rsidRPr="00BE72C0">
        <w:rPr>
          <w:rFonts w:ascii="Times New Roman" w:hAnsi="Times New Roman" w:cs="Times New Roman"/>
          <w:sz w:val="24"/>
          <w:szCs w:val="24"/>
        </w:rPr>
        <w:t xml:space="preserve">. </w:t>
      </w:r>
    </w:p>
    <w:p w14:paraId="7BD0C5A2"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 xml:space="preserve">The fourth amendment of the constitution safeguards individuals on matters pertaining to arrest or investigation and prohibits the utilization of materials confiscated without a warrant as court-room evidence. The level of protection a citizen gets in any circumstance is determined by apprehension nature, characteristics of the location being searched, and the circumstance under which the search is being conducted. Nonetheless, for any officer to keep an individual in custody, they need to have reasonable suspicion to uphold that the individual was possibly involved in some criminal activities. </w:t>
      </w:r>
    </w:p>
    <w:p w14:paraId="133ACE9E" w14:textId="77777777" w:rsidR="00E05DD0" w:rsidRPr="00197BA0" w:rsidRDefault="00E05DD0" w:rsidP="00BE72C0">
      <w:pPr>
        <w:spacing w:after="0" w:line="480" w:lineRule="auto"/>
        <w:ind w:firstLine="720"/>
        <w:contextualSpacing/>
        <w:rPr>
          <w:rFonts w:ascii="Times New Roman" w:hAnsi="Times New Roman" w:cs="Times New Roman"/>
          <w:color w:val="000000" w:themeColor="text1"/>
          <w:sz w:val="24"/>
          <w:szCs w:val="24"/>
        </w:rPr>
      </w:pPr>
      <w:r w:rsidRPr="00197BA0">
        <w:rPr>
          <w:rFonts w:ascii="Times New Roman" w:hAnsi="Times New Roman" w:cs="Times New Roman"/>
          <w:color w:val="000000" w:themeColor="text1"/>
          <w:sz w:val="24"/>
          <w:szCs w:val="24"/>
          <w:highlight w:val="red"/>
        </w:rPr>
        <w:t xml:space="preserve">The defendant's party tried surprising evidence, but the prosecutor declared that the weapons were </w:t>
      </w:r>
      <w:r w:rsidR="006023F0" w:rsidRPr="00197BA0">
        <w:rPr>
          <w:rFonts w:ascii="Times New Roman" w:hAnsi="Times New Roman" w:cs="Times New Roman"/>
          <w:color w:val="000000" w:themeColor="text1"/>
          <w:sz w:val="24"/>
          <w:szCs w:val="24"/>
          <w:highlight w:val="red"/>
        </w:rPr>
        <w:t>apprehended</w:t>
      </w:r>
      <w:r w:rsidRPr="00197BA0">
        <w:rPr>
          <w:rFonts w:ascii="Times New Roman" w:hAnsi="Times New Roman" w:cs="Times New Roman"/>
          <w:color w:val="000000" w:themeColor="text1"/>
          <w:sz w:val="24"/>
          <w:szCs w:val="24"/>
          <w:highlight w:val="red"/>
        </w:rPr>
        <w:t xml:space="preserve"> </w:t>
      </w:r>
      <w:r w:rsidR="006023F0" w:rsidRPr="00197BA0">
        <w:rPr>
          <w:rFonts w:ascii="Times New Roman" w:hAnsi="Times New Roman" w:cs="Times New Roman"/>
          <w:color w:val="000000" w:themeColor="text1"/>
          <w:sz w:val="24"/>
          <w:szCs w:val="24"/>
          <w:highlight w:val="red"/>
        </w:rPr>
        <w:t>during a</w:t>
      </w:r>
      <w:r w:rsidRPr="00197BA0">
        <w:rPr>
          <w:rFonts w:ascii="Times New Roman" w:hAnsi="Times New Roman" w:cs="Times New Roman"/>
          <w:color w:val="000000" w:themeColor="text1"/>
          <w:sz w:val="24"/>
          <w:szCs w:val="24"/>
          <w:highlight w:val="red"/>
        </w:rPr>
        <w:t xml:space="preserve"> </w:t>
      </w:r>
      <w:r w:rsidR="006023F0" w:rsidRPr="00197BA0">
        <w:rPr>
          <w:rFonts w:ascii="Times New Roman" w:hAnsi="Times New Roman" w:cs="Times New Roman"/>
          <w:color w:val="000000" w:themeColor="text1"/>
          <w:sz w:val="24"/>
          <w:szCs w:val="24"/>
          <w:highlight w:val="red"/>
        </w:rPr>
        <w:t>legal</w:t>
      </w:r>
      <w:r w:rsidRPr="00197BA0">
        <w:rPr>
          <w:rFonts w:ascii="Times New Roman" w:hAnsi="Times New Roman" w:cs="Times New Roman"/>
          <w:color w:val="000000" w:themeColor="text1"/>
          <w:sz w:val="24"/>
          <w:szCs w:val="24"/>
          <w:highlight w:val="red"/>
        </w:rPr>
        <w:t xml:space="preserve"> </w:t>
      </w:r>
      <w:r w:rsidR="006023F0" w:rsidRPr="00197BA0">
        <w:rPr>
          <w:rFonts w:ascii="Times New Roman" w:hAnsi="Times New Roman" w:cs="Times New Roman"/>
          <w:color w:val="000000" w:themeColor="text1"/>
          <w:sz w:val="24"/>
          <w:szCs w:val="24"/>
          <w:highlight w:val="red"/>
        </w:rPr>
        <w:t>pursuit</w:t>
      </w:r>
      <w:r w:rsidRPr="00197BA0">
        <w:rPr>
          <w:rFonts w:ascii="Times New Roman" w:hAnsi="Times New Roman" w:cs="Times New Roman"/>
          <w:color w:val="000000" w:themeColor="text1"/>
          <w:sz w:val="24"/>
          <w:szCs w:val="24"/>
          <w:highlight w:val="red"/>
        </w:rPr>
        <w:t xml:space="preserve"> operation. Additionally, the court rejected the appeal for weapon suppression, explaining that this would be used as proof on the allegation that the police was suspecting the petitioner and Chilton to be up to some criminal activities. Thus, according to the prosecutor, questioning the suspects was in order, and for the officer had a right to frisk the suspects for him guarantee his safety while handling them.</w:t>
      </w:r>
      <w:r w:rsidRPr="00197BA0">
        <w:rPr>
          <w:rFonts w:ascii="Times New Roman" w:hAnsi="Times New Roman" w:cs="Times New Roman"/>
          <w:color w:val="000000" w:themeColor="text1"/>
          <w:sz w:val="24"/>
          <w:szCs w:val="24"/>
        </w:rPr>
        <w:t xml:space="preserve"> </w:t>
      </w:r>
    </w:p>
    <w:p w14:paraId="52153321" w14:textId="77777777" w:rsidR="00E05DD0" w:rsidRP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Conclusion</w:t>
      </w:r>
    </w:p>
    <w:p w14:paraId="12574784" w14:textId="77777777" w:rsidR="00BE72C0" w:rsidRDefault="00E05DD0" w:rsidP="00BE72C0">
      <w:pPr>
        <w:spacing w:after="0" w:line="480" w:lineRule="auto"/>
        <w:ind w:firstLine="720"/>
        <w:contextualSpacing/>
        <w:rPr>
          <w:rFonts w:ascii="Times New Roman" w:hAnsi="Times New Roman" w:cs="Times New Roman"/>
          <w:sz w:val="24"/>
          <w:szCs w:val="24"/>
        </w:rPr>
      </w:pPr>
      <w:r w:rsidRPr="00BE72C0">
        <w:rPr>
          <w:rFonts w:ascii="Times New Roman" w:hAnsi="Times New Roman" w:cs="Times New Roman"/>
          <w:sz w:val="24"/>
          <w:szCs w:val="24"/>
        </w:rPr>
        <w:t>In the case Terry v. Ohio, the court's decision was that police can stop a suspect and frisk them in the street when they have a reasonable belief that the suspect is doing, about to do or has done a crime. The ruling has helped in minimizing the crime rates in most cities. However, there are minority groups who feel that the police misuse this ruling and focus it mostly on the minority neighborhoods. Nonetheless, making the stop and frisk legal should have been made by involving the entire public through a debate on the constitutional amendment because it is a matter of great public interest.</w:t>
      </w:r>
    </w:p>
    <w:p w14:paraId="395F5437" w14:textId="77777777" w:rsidR="00693095" w:rsidRPr="00BE72C0" w:rsidRDefault="00BE72C0" w:rsidP="00E12662">
      <w:pPr>
        <w:rPr>
          <w:rFonts w:ascii="Times New Roman" w:hAnsi="Times New Roman" w:cs="Times New Roman"/>
          <w:sz w:val="24"/>
          <w:szCs w:val="24"/>
        </w:rPr>
      </w:pPr>
      <w:r>
        <w:rPr>
          <w:rFonts w:ascii="Times New Roman" w:hAnsi="Times New Roman" w:cs="Times New Roman"/>
          <w:sz w:val="24"/>
          <w:szCs w:val="24"/>
        </w:rPr>
        <w:br w:type="page"/>
      </w:r>
    </w:p>
    <w:p w14:paraId="192EA3D7" w14:textId="77777777" w:rsidR="006168CB" w:rsidRPr="00BE72C0" w:rsidRDefault="006168CB" w:rsidP="00BE72C0">
      <w:pPr>
        <w:spacing w:after="0" w:line="480" w:lineRule="auto"/>
        <w:contextualSpacing/>
        <w:jc w:val="center"/>
        <w:rPr>
          <w:rFonts w:ascii="Times New Roman" w:hAnsi="Times New Roman" w:cs="Times New Roman"/>
          <w:sz w:val="24"/>
          <w:szCs w:val="24"/>
        </w:rPr>
      </w:pPr>
      <w:r w:rsidRPr="00BE72C0">
        <w:rPr>
          <w:rFonts w:ascii="Times New Roman" w:hAnsi="Times New Roman" w:cs="Times New Roman"/>
          <w:sz w:val="24"/>
          <w:szCs w:val="24"/>
        </w:rPr>
        <w:t>Reference</w:t>
      </w:r>
    </w:p>
    <w:p w14:paraId="2D502B20" w14:textId="77777777"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Cooper, M. (2019). THE DIALLO SHOOTING: THE STOP-AND-FRISK; Procedure Was Once to Protect the Police. Retrieved from </w:t>
      </w:r>
      <w:hyperlink r:id="rId6" w:history="1">
        <w:r w:rsidRPr="00BE72C0">
          <w:rPr>
            <w:rStyle w:val="Hyperlink"/>
            <w:rFonts w:ascii="Times New Roman" w:hAnsi="Times New Roman" w:cs="Times New Roman"/>
            <w:color w:val="auto"/>
            <w:sz w:val="24"/>
            <w:szCs w:val="24"/>
            <w:shd w:val="clear" w:color="auto" w:fill="FFFFFF"/>
          </w:rPr>
          <w:t>https://www.nytimes.com/1999/03/29/nyregion/the-diallo-shooting-the-stop-and-frisk-procedure-was-once-to-protect-the-police.html</w:t>
        </w:r>
      </w:hyperlink>
    </w:p>
    <w:p w14:paraId="7793310E" w14:textId="77777777"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bookmarkStart w:id="0" w:name="_GoBack"/>
      <w:bookmarkEnd w:id="0"/>
      <w:r w:rsidRPr="0051076F">
        <w:rPr>
          <w:rFonts w:ascii="Times New Roman" w:hAnsi="Times New Roman" w:cs="Times New Roman"/>
          <w:sz w:val="24"/>
          <w:szCs w:val="24"/>
          <w:highlight w:val="red"/>
          <w:shd w:val="clear" w:color="auto" w:fill="FFFFFF"/>
        </w:rPr>
        <w:t xml:space="preserve">LAWRENCE V. TEXAS. (2019). Retrieved from </w:t>
      </w:r>
      <w:hyperlink r:id="rId7" w:history="1">
        <w:r w:rsidRPr="0051076F">
          <w:rPr>
            <w:rStyle w:val="Hyperlink"/>
            <w:rFonts w:ascii="Times New Roman" w:hAnsi="Times New Roman" w:cs="Times New Roman"/>
            <w:color w:val="auto"/>
            <w:sz w:val="24"/>
            <w:szCs w:val="24"/>
            <w:highlight w:val="red"/>
            <w:shd w:val="clear" w:color="auto" w:fill="FFFFFF"/>
          </w:rPr>
          <w:t>https://www.law.cornell.edu/supct/html/02-102.ZO.html</w:t>
        </w:r>
      </w:hyperlink>
    </w:p>
    <w:p w14:paraId="64CDDC65" w14:textId="77777777" w:rsidR="00BE72C0" w:rsidRPr="00BE72C0" w:rsidRDefault="00BE72C0" w:rsidP="00BE72C0">
      <w:pPr>
        <w:spacing w:after="0" w:line="480" w:lineRule="auto"/>
        <w:ind w:left="720" w:hanging="720"/>
        <w:contextualSpacing/>
        <w:rPr>
          <w:rFonts w:ascii="Times New Roman" w:hAnsi="Times New Roman" w:cs="Times New Roman"/>
          <w:sz w:val="24"/>
          <w:szCs w:val="24"/>
        </w:rPr>
      </w:pPr>
      <w:r w:rsidRPr="0051076F">
        <w:rPr>
          <w:rFonts w:ascii="Times New Roman" w:hAnsi="Times New Roman" w:cs="Times New Roman"/>
          <w:sz w:val="24"/>
          <w:szCs w:val="24"/>
          <w:highlight w:val="red"/>
          <w:shd w:val="clear" w:color="auto" w:fill="FFFFFF"/>
        </w:rPr>
        <w:t>Lemieux, S. (2019). How the supreme court learned to love gay couples | Scott Lemieux. Retrieved from https://www.theguardian.com/commentisfree/2016/mar/07/supreme-court-gay-couples-same-sex-lgbt</w:t>
      </w:r>
    </w:p>
    <w:p w14:paraId="488D07B3" w14:textId="77777777"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r w:rsidRPr="0051076F">
        <w:rPr>
          <w:rFonts w:ascii="Times New Roman" w:hAnsi="Times New Roman" w:cs="Times New Roman"/>
          <w:sz w:val="24"/>
          <w:szCs w:val="24"/>
          <w:highlight w:val="red"/>
          <w:shd w:val="clear" w:color="auto" w:fill="FFFFFF"/>
        </w:rPr>
        <w:t>McGuire, K. (2017). Why a postwar legal debate over the impact of private sex still matters today. </w:t>
      </w:r>
      <w:r w:rsidRPr="0051076F">
        <w:rPr>
          <w:rFonts w:ascii="Times New Roman" w:hAnsi="Times New Roman" w:cs="Times New Roman"/>
          <w:i/>
          <w:iCs/>
          <w:sz w:val="24"/>
          <w:szCs w:val="24"/>
          <w:highlight w:val="red"/>
          <w:shd w:val="clear" w:color="auto" w:fill="FFFFFF"/>
        </w:rPr>
        <w:t>The Conversation</w:t>
      </w:r>
      <w:r w:rsidRPr="0051076F">
        <w:rPr>
          <w:rFonts w:ascii="Times New Roman" w:hAnsi="Times New Roman" w:cs="Times New Roman"/>
          <w:sz w:val="24"/>
          <w:szCs w:val="24"/>
          <w:highlight w:val="red"/>
          <w:shd w:val="clear" w:color="auto" w:fill="FFFFFF"/>
        </w:rPr>
        <w:t>.</w:t>
      </w:r>
    </w:p>
    <w:p w14:paraId="656D4547" w14:textId="77777777" w:rsidR="00BE72C0" w:rsidRPr="0051076F" w:rsidRDefault="00BE72C0" w:rsidP="00BE72C0">
      <w:pPr>
        <w:spacing w:after="0" w:line="480" w:lineRule="auto"/>
        <w:ind w:left="720" w:hanging="720"/>
        <w:contextualSpacing/>
        <w:rPr>
          <w:rFonts w:ascii="Times New Roman" w:hAnsi="Times New Roman" w:cs="Times New Roman"/>
          <w:sz w:val="24"/>
          <w:szCs w:val="24"/>
          <w:highlight w:val="yellow"/>
          <w:shd w:val="clear" w:color="auto" w:fill="FFFFFF"/>
        </w:rPr>
      </w:pPr>
      <w:r w:rsidRPr="00BE72C0">
        <w:rPr>
          <w:rFonts w:ascii="Times New Roman" w:hAnsi="Times New Roman" w:cs="Times New Roman"/>
          <w:sz w:val="24"/>
          <w:szCs w:val="24"/>
          <w:shd w:val="clear" w:color="auto" w:fill="FFFFFF"/>
        </w:rPr>
        <w:t>Newberry, J. (2017). A Data Envelopment Analysis of the New York City Stop-and-Frisk Policy, Pre-and Post constitutionality Ruling. </w:t>
      </w:r>
      <w:r w:rsidRPr="00BE72C0">
        <w:rPr>
          <w:rFonts w:ascii="Times New Roman" w:hAnsi="Times New Roman" w:cs="Times New Roman"/>
          <w:i/>
          <w:iCs/>
          <w:sz w:val="24"/>
          <w:szCs w:val="24"/>
          <w:shd w:val="clear" w:color="auto" w:fill="FFFFFF"/>
        </w:rPr>
        <w:t>Papers in Applied Geography</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3</w:t>
      </w:r>
      <w:r w:rsidRPr="00BE72C0">
        <w:rPr>
          <w:rFonts w:ascii="Times New Roman" w:hAnsi="Times New Roman" w:cs="Times New Roman"/>
          <w:sz w:val="24"/>
          <w:szCs w:val="24"/>
          <w:shd w:val="clear" w:color="auto" w:fill="FFFFFF"/>
        </w:rPr>
        <w:t>(3-4), 308-</w:t>
      </w:r>
      <w:r w:rsidRPr="0051076F">
        <w:rPr>
          <w:rFonts w:ascii="Times New Roman" w:hAnsi="Times New Roman" w:cs="Times New Roman"/>
          <w:sz w:val="24"/>
          <w:szCs w:val="24"/>
          <w:highlight w:val="yellow"/>
          <w:shd w:val="clear" w:color="auto" w:fill="FFFFFF"/>
        </w:rPr>
        <w:t>321.</w:t>
      </w:r>
    </w:p>
    <w:p w14:paraId="2C079A2C" w14:textId="77777777"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r w:rsidRPr="0051076F">
        <w:rPr>
          <w:rFonts w:ascii="Times New Roman" w:hAnsi="Times New Roman" w:cs="Times New Roman"/>
          <w:sz w:val="24"/>
          <w:szCs w:val="24"/>
          <w:highlight w:val="yellow"/>
        </w:rPr>
        <w:t>Romero, V. C. (2017).</w:t>
      </w:r>
      <w:r w:rsidRPr="0051076F">
        <w:rPr>
          <w:rFonts w:ascii="Times New Roman" w:hAnsi="Times New Roman" w:cs="Times New Roman"/>
          <w:sz w:val="24"/>
          <w:szCs w:val="24"/>
          <w:highlight w:val="yellow"/>
          <w:shd w:val="clear" w:color="auto" w:fill="FFFFFF"/>
        </w:rPr>
        <w:t xml:space="preserve"> An" Other" Christian Perspective on Lawrence V. Texas. </w:t>
      </w:r>
      <w:r w:rsidRPr="0051076F">
        <w:rPr>
          <w:rFonts w:ascii="Times New Roman" w:hAnsi="Times New Roman" w:cs="Times New Roman"/>
          <w:i/>
          <w:iCs/>
          <w:sz w:val="24"/>
          <w:szCs w:val="24"/>
          <w:highlight w:val="yellow"/>
          <w:shd w:val="clear" w:color="auto" w:fill="FFFFFF"/>
        </w:rPr>
        <w:t>Journal of Catholic Legal Studies</w:t>
      </w:r>
      <w:r w:rsidRPr="0051076F">
        <w:rPr>
          <w:rFonts w:ascii="Times New Roman" w:hAnsi="Times New Roman" w:cs="Times New Roman"/>
          <w:sz w:val="24"/>
          <w:szCs w:val="24"/>
          <w:highlight w:val="yellow"/>
          <w:shd w:val="clear" w:color="auto" w:fill="FFFFFF"/>
        </w:rPr>
        <w:t>, </w:t>
      </w:r>
      <w:r w:rsidRPr="0051076F">
        <w:rPr>
          <w:rFonts w:ascii="Times New Roman" w:hAnsi="Times New Roman" w:cs="Times New Roman"/>
          <w:i/>
          <w:iCs/>
          <w:sz w:val="24"/>
          <w:szCs w:val="24"/>
          <w:highlight w:val="yellow"/>
          <w:shd w:val="clear" w:color="auto" w:fill="FFFFFF"/>
        </w:rPr>
        <w:t>45</w:t>
      </w:r>
      <w:r w:rsidRPr="0051076F">
        <w:rPr>
          <w:rFonts w:ascii="Times New Roman" w:hAnsi="Times New Roman" w:cs="Times New Roman"/>
          <w:sz w:val="24"/>
          <w:szCs w:val="24"/>
          <w:highlight w:val="yellow"/>
          <w:shd w:val="clear" w:color="auto" w:fill="FFFFFF"/>
        </w:rPr>
        <w:t>(1), 7.</w:t>
      </w:r>
    </w:p>
    <w:p w14:paraId="3AB25A9C" w14:textId="77777777"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Stoughton, S. W. (2017). Terry v. Ohio and the (Un) Forgettable Frisk. </w:t>
      </w:r>
      <w:r w:rsidRPr="00BE72C0">
        <w:rPr>
          <w:rFonts w:ascii="Times New Roman" w:hAnsi="Times New Roman" w:cs="Times New Roman"/>
          <w:i/>
          <w:iCs/>
          <w:sz w:val="24"/>
          <w:szCs w:val="24"/>
          <w:shd w:val="clear" w:color="auto" w:fill="FFFFFF"/>
        </w:rPr>
        <w:t>Ohio St. J. Crim. L.</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15</w:t>
      </w:r>
      <w:r w:rsidRPr="00BE72C0">
        <w:rPr>
          <w:rFonts w:ascii="Times New Roman" w:hAnsi="Times New Roman" w:cs="Times New Roman"/>
          <w:sz w:val="24"/>
          <w:szCs w:val="24"/>
          <w:shd w:val="clear" w:color="auto" w:fill="FFFFFF"/>
        </w:rPr>
        <w:t>, 19.</w:t>
      </w:r>
    </w:p>
    <w:p w14:paraId="674AD73B" w14:textId="77777777" w:rsidR="00BE72C0" w:rsidRPr="00BE72C0" w:rsidRDefault="00BE72C0" w:rsidP="00BE72C0">
      <w:pPr>
        <w:spacing w:after="0" w:line="480" w:lineRule="auto"/>
        <w:ind w:left="720" w:hanging="720"/>
        <w:contextualSpacing/>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Terry v. Ohio. (2019). Retrieved from </w:t>
      </w:r>
      <w:hyperlink r:id="rId8" w:history="1">
        <w:r w:rsidRPr="00BE72C0">
          <w:rPr>
            <w:rStyle w:val="Hyperlink"/>
            <w:rFonts w:ascii="Times New Roman" w:hAnsi="Times New Roman" w:cs="Times New Roman"/>
            <w:color w:val="auto"/>
            <w:sz w:val="24"/>
            <w:szCs w:val="24"/>
            <w:shd w:val="clear" w:color="auto" w:fill="FFFFFF"/>
          </w:rPr>
          <w:t>https://www.law.cornell.edu/supremecourt/text/392/1</w:t>
        </w:r>
      </w:hyperlink>
    </w:p>
    <w:sectPr w:rsidR="00BE72C0" w:rsidRPr="00BE72C0" w:rsidSect="00A90D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BBC5A" w14:textId="77777777" w:rsidR="00EB0B6F" w:rsidRDefault="00EB0B6F" w:rsidP="00A90D9C">
      <w:pPr>
        <w:spacing w:after="0" w:line="240" w:lineRule="auto"/>
      </w:pPr>
      <w:r>
        <w:separator/>
      </w:r>
    </w:p>
  </w:endnote>
  <w:endnote w:type="continuationSeparator" w:id="0">
    <w:p w14:paraId="15CF3DE7" w14:textId="77777777" w:rsidR="00EB0B6F" w:rsidRDefault="00EB0B6F" w:rsidP="00A90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23573" w14:textId="77777777" w:rsidR="00EB0B6F" w:rsidRDefault="00EB0B6F" w:rsidP="00A90D9C">
      <w:pPr>
        <w:spacing w:after="0" w:line="240" w:lineRule="auto"/>
      </w:pPr>
      <w:r>
        <w:separator/>
      </w:r>
    </w:p>
  </w:footnote>
  <w:footnote w:type="continuationSeparator" w:id="0">
    <w:p w14:paraId="30335477" w14:textId="77777777" w:rsidR="00EB0B6F" w:rsidRDefault="00EB0B6F" w:rsidP="00A90D9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5FDBA" w14:textId="77777777" w:rsidR="00BE72C0" w:rsidRPr="00BE72C0" w:rsidRDefault="003D32ED" w:rsidP="00A73170">
    <w:pPr>
      <w:pStyle w:val="Header"/>
      <w:rPr>
        <w:rFonts w:ascii="Times New Roman" w:hAnsi="Times New Roman" w:cs="Times New Roman"/>
        <w:sz w:val="24"/>
        <w:szCs w:val="24"/>
      </w:rPr>
    </w:pPr>
    <w:r>
      <w:rPr>
        <w:rFonts w:ascii="Times New Roman" w:hAnsi="Times New Roman" w:cs="Times New Roman"/>
        <w:sz w:val="24"/>
        <w:szCs w:val="24"/>
      </w:rPr>
      <w:t>(Insert)</w:t>
    </w:r>
    <w:r w:rsidR="007122F5">
      <w:rPr>
        <w:rFonts w:ascii="Times New Roman" w:hAnsi="Times New Roman" w:cs="Times New Roman"/>
        <w:sz w:val="24"/>
        <w:szCs w:val="24"/>
      </w:rPr>
      <w:tab/>
    </w:r>
    <w:r w:rsidR="00A73170">
      <w:rPr>
        <w:rFonts w:ascii="Times New Roman" w:hAnsi="Times New Roman" w:cs="Times New Roman"/>
        <w:sz w:val="24"/>
        <w:szCs w:val="24"/>
      </w:rPr>
      <w:tab/>
    </w:r>
    <w:r w:rsidR="00BE72C0" w:rsidRPr="00BE72C0">
      <w:rPr>
        <w:rFonts w:ascii="Times New Roman" w:hAnsi="Times New Roman" w:cs="Times New Roman"/>
        <w:sz w:val="24"/>
        <w:szCs w:val="24"/>
      </w:rPr>
      <w:t xml:space="preserve">     </w:t>
    </w:r>
    <w:r w:rsidR="00BE72C0">
      <w:rPr>
        <w:rFonts w:ascii="Times New Roman" w:hAnsi="Times New Roman" w:cs="Times New Roman"/>
        <w:sz w:val="24"/>
        <w:szCs w:val="24"/>
      </w:rPr>
      <w:t xml:space="preserve">                          </w:t>
    </w:r>
    <w:r w:rsidR="00BE72C0" w:rsidRPr="00BE72C0">
      <w:rPr>
        <w:rFonts w:ascii="Times New Roman" w:hAnsi="Times New Roman" w:cs="Times New Roman"/>
        <w:sz w:val="24"/>
        <w:szCs w:val="24"/>
      </w:rPr>
      <w:t xml:space="preserve">                                    </w:t>
    </w:r>
    <w:sdt>
      <w:sdtPr>
        <w:rPr>
          <w:rFonts w:ascii="Times New Roman" w:hAnsi="Times New Roman" w:cs="Times New Roman"/>
          <w:sz w:val="24"/>
          <w:szCs w:val="24"/>
        </w:rPr>
        <w:id w:val="669533534"/>
        <w:docPartObj>
          <w:docPartGallery w:val="Page Numbers (Top of Page)"/>
          <w:docPartUnique/>
        </w:docPartObj>
      </w:sdtPr>
      <w:sdtEndPr>
        <w:rPr>
          <w:noProof/>
        </w:rPr>
      </w:sdtEndPr>
      <w:sdtContent>
        <w:r w:rsidR="001B6A29" w:rsidRPr="00BE72C0">
          <w:rPr>
            <w:rFonts w:ascii="Times New Roman" w:hAnsi="Times New Roman" w:cs="Times New Roman"/>
            <w:sz w:val="24"/>
            <w:szCs w:val="24"/>
          </w:rPr>
          <w:fldChar w:fldCharType="begin"/>
        </w:r>
        <w:r w:rsidR="00BE72C0" w:rsidRPr="00BE72C0">
          <w:rPr>
            <w:rFonts w:ascii="Times New Roman" w:hAnsi="Times New Roman" w:cs="Times New Roman"/>
            <w:sz w:val="24"/>
            <w:szCs w:val="24"/>
          </w:rPr>
          <w:instrText xml:space="preserve"> PAGE   \* MERGEFORMAT </w:instrText>
        </w:r>
        <w:r w:rsidR="001B6A29" w:rsidRPr="00BE72C0">
          <w:rPr>
            <w:rFonts w:ascii="Times New Roman" w:hAnsi="Times New Roman" w:cs="Times New Roman"/>
            <w:sz w:val="24"/>
            <w:szCs w:val="24"/>
          </w:rPr>
          <w:fldChar w:fldCharType="separate"/>
        </w:r>
        <w:r w:rsidR="0051076F">
          <w:rPr>
            <w:rFonts w:ascii="Times New Roman" w:hAnsi="Times New Roman" w:cs="Times New Roman"/>
            <w:noProof/>
            <w:sz w:val="24"/>
            <w:szCs w:val="24"/>
          </w:rPr>
          <w:t>7</w:t>
        </w:r>
        <w:r w:rsidR="001B6A29" w:rsidRPr="00BE72C0">
          <w:rPr>
            <w:rFonts w:ascii="Times New Roman" w:hAnsi="Times New Roman" w:cs="Times New Roman"/>
            <w:noProof/>
            <w:sz w:val="24"/>
            <w:szCs w:val="24"/>
          </w:rPr>
          <w:fldChar w:fldCharType="end"/>
        </w:r>
      </w:sdtContent>
    </w:sdt>
  </w:p>
  <w:p w14:paraId="0563996C" w14:textId="77777777" w:rsidR="00BE72C0" w:rsidRDefault="00BE72C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BF370" w14:textId="77777777" w:rsidR="00A90D9C" w:rsidRPr="00A90D9C" w:rsidRDefault="00A90D9C">
    <w:pPr>
      <w:pStyle w:val="Header"/>
      <w:jc w:val="right"/>
      <w:rPr>
        <w:rFonts w:ascii="Times New Roman" w:hAnsi="Times New Roman" w:cs="Times New Roman"/>
        <w:sz w:val="24"/>
        <w:szCs w:val="24"/>
      </w:rPr>
    </w:pPr>
    <w:r w:rsidRPr="00A90D9C">
      <w:rPr>
        <w:rFonts w:ascii="Times New Roman" w:hAnsi="Times New Roman" w:cs="Times New Roman"/>
        <w:sz w:val="24"/>
        <w:szCs w:val="24"/>
      </w:rPr>
      <w:t>Run</w:t>
    </w:r>
    <w:r w:rsidR="00E12662">
      <w:rPr>
        <w:rFonts w:ascii="Times New Roman" w:hAnsi="Times New Roman" w:cs="Times New Roman"/>
        <w:sz w:val="24"/>
        <w:szCs w:val="24"/>
      </w:rPr>
      <w:t>ning head:</w:t>
    </w:r>
    <w:r w:rsidRPr="00A90D9C">
      <w:rPr>
        <w:rFonts w:ascii="Times New Roman" w:hAnsi="Times New Roman" w:cs="Times New Roman"/>
        <w:sz w:val="24"/>
        <w:szCs w:val="24"/>
      </w:rPr>
      <w:t xml:space="preserve"> TERRY V. OHIO</w:t>
    </w:r>
    <w:r w:rsidR="00E12662">
      <w:rPr>
        <w:rFonts w:ascii="Times New Roman" w:hAnsi="Times New Roman" w:cs="Times New Roman"/>
        <w:sz w:val="24"/>
        <w:szCs w:val="24"/>
      </w:rPr>
      <w:tab/>
    </w:r>
    <w:r w:rsidR="00E12662">
      <w:rPr>
        <w:rFonts w:ascii="Times New Roman" w:hAnsi="Times New Roman" w:cs="Times New Roman"/>
        <w:sz w:val="24"/>
        <w:szCs w:val="24"/>
      </w:rPr>
      <w:tab/>
    </w:r>
    <w:r w:rsidRPr="00A90D9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0D9C">
      <w:rPr>
        <w:rFonts w:ascii="Times New Roman" w:hAnsi="Times New Roman" w:cs="Times New Roman"/>
        <w:sz w:val="24"/>
        <w:szCs w:val="24"/>
      </w:rPr>
      <w:t xml:space="preserve">   </w:t>
    </w:r>
    <w:sdt>
      <w:sdtPr>
        <w:rPr>
          <w:rFonts w:ascii="Times New Roman" w:hAnsi="Times New Roman" w:cs="Times New Roman"/>
          <w:sz w:val="24"/>
          <w:szCs w:val="24"/>
        </w:rPr>
        <w:id w:val="-2023224212"/>
        <w:docPartObj>
          <w:docPartGallery w:val="Page Numbers (Top of Page)"/>
          <w:docPartUnique/>
        </w:docPartObj>
      </w:sdtPr>
      <w:sdtEndPr>
        <w:rPr>
          <w:noProof/>
        </w:rPr>
      </w:sdtEndPr>
      <w:sdtContent>
        <w:r w:rsidR="001B6A29" w:rsidRPr="00A90D9C">
          <w:rPr>
            <w:rFonts w:ascii="Times New Roman" w:hAnsi="Times New Roman" w:cs="Times New Roman"/>
            <w:sz w:val="24"/>
            <w:szCs w:val="24"/>
          </w:rPr>
          <w:fldChar w:fldCharType="begin"/>
        </w:r>
        <w:r w:rsidRPr="00A90D9C">
          <w:rPr>
            <w:rFonts w:ascii="Times New Roman" w:hAnsi="Times New Roman" w:cs="Times New Roman"/>
            <w:sz w:val="24"/>
            <w:szCs w:val="24"/>
          </w:rPr>
          <w:instrText xml:space="preserve"> PAGE   \* MERGEFORMAT </w:instrText>
        </w:r>
        <w:r w:rsidR="001B6A29" w:rsidRPr="00A90D9C">
          <w:rPr>
            <w:rFonts w:ascii="Times New Roman" w:hAnsi="Times New Roman" w:cs="Times New Roman"/>
            <w:sz w:val="24"/>
            <w:szCs w:val="24"/>
          </w:rPr>
          <w:fldChar w:fldCharType="separate"/>
        </w:r>
        <w:r w:rsidR="00EB0B6F">
          <w:rPr>
            <w:rFonts w:ascii="Times New Roman" w:hAnsi="Times New Roman" w:cs="Times New Roman"/>
            <w:noProof/>
            <w:sz w:val="24"/>
            <w:szCs w:val="24"/>
          </w:rPr>
          <w:t>1</w:t>
        </w:r>
        <w:r w:rsidR="001B6A29" w:rsidRPr="00A90D9C">
          <w:rPr>
            <w:rFonts w:ascii="Times New Roman" w:hAnsi="Times New Roman" w:cs="Times New Roman"/>
            <w:noProof/>
            <w:sz w:val="24"/>
            <w:szCs w:val="24"/>
          </w:rPr>
          <w:fldChar w:fldCharType="end"/>
        </w:r>
      </w:sdtContent>
    </w:sdt>
  </w:p>
  <w:p w14:paraId="04C6D753" w14:textId="77777777" w:rsidR="00A90D9C" w:rsidRDefault="00A90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27F92"/>
    <w:rsid w:val="000A68B5"/>
    <w:rsid w:val="000B0B9E"/>
    <w:rsid w:val="000F5171"/>
    <w:rsid w:val="00116DD7"/>
    <w:rsid w:val="001906C3"/>
    <w:rsid w:val="001929EF"/>
    <w:rsid w:val="00197BA0"/>
    <w:rsid w:val="001B6A29"/>
    <w:rsid w:val="0026029A"/>
    <w:rsid w:val="00275806"/>
    <w:rsid w:val="00293AB7"/>
    <w:rsid w:val="002E26BF"/>
    <w:rsid w:val="003248EE"/>
    <w:rsid w:val="0032713D"/>
    <w:rsid w:val="00363107"/>
    <w:rsid w:val="003B28B6"/>
    <w:rsid w:val="003D32ED"/>
    <w:rsid w:val="003F5523"/>
    <w:rsid w:val="004933CC"/>
    <w:rsid w:val="004C3C14"/>
    <w:rsid w:val="004D1890"/>
    <w:rsid w:val="0051076F"/>
    <w:rsid w:val="00545B95"/>
    <w:rsid w:val="006023F0"/>
    <w:rsid w:val="006168CB"/>
    <w:rsid w:val="00693095"/>
    <w:rsid w:val="006B3543"/>
    <w:rsid w:val="007122F5"/>
    <w:rsid w:val="0071599D"/>
    <w:rsid w:val="00725FCE"/>
    <w:rsid w:val="007855F1"/>
    <w:rsid w:val="007B30D8"/>
    <w:rsid w:val="00826BC6"/>
    <w:rsid w:val="008D464E"/>
    <w:rsid w:val="00931E9B"/>
    <w:rsid w:val="00993AAB"/>
    <w:rsid w:val="00996764"/>
    <w:rsid w:val="009B28F2"/>
    <w:rsid w:val="009B3666"/>
    <w:rsid w:val="009F6A37"/>
    <w:rsid w:val="00A6479D"/>
    <w:rsid w:val="00A73170"/>
    <w:rsid w:val="00A771BC"/>
    <w:rsid w:val="00A90D9C"/>
    <w:rsid w:val="00B47DF6"/>
    <w:rsid w:val="00B53D2E"/>
    <w:rsid w:val="00B72E86"/>
    <w:rsid w:val="00BE56F6"/>
    <w:rsid w:val="00BE72C0"/>
    <w:rsid w:val="00C31452"/>
    <w:rsid w:val="00C974CF"/>
    <w:rsid w:val="00CA482F"/>
    <w:rsid w:val="00CB1C40"/>
    <w:rsid w:val="00CE2E31"/>
    <w:rsid w:val="00D27F92"/>
    <w:rsid w:val="00DB5B03"/>
    <w:rsid w:val="00DF0F4A"/>
    <w:rsid w:val="00E05DD0"/>
    <w:rsid w:val="00E06D5B"/>
    <w:rsid w:val="00E10767"/>
    <w:rsid w:val="00E12662"/>
    <w:rsid w:val="00E15C6E"/>
    <w:rsid w:val="00E4728C"/>
    <w:rsid w:val="00E80F9D"/>
    <w:rsid w:val="00EB0B6F"/>
    <w:rsid w:val="00EB43EF"/>
    <w:rsid w:val="00F2111E"/>
    <w:rsid w:val="00F65E26"/>
    <w:rsid w:val="00FE2265"/>
    <w:rsid w:val="00FE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D83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4E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5F1"/>
    <w:rPr>
      <w:color w:val="0000FF"/>
      <w:u w:val="single"/>
    </w:rPr>
  </w:style>
  <w:style w:type="character" w:customStyle="1" w:styleId="UnresolvedMention">
    <w:name w:val="Unresolved Mention"/>
    <w:basedOn w:val="DefaultParagraphFont"/>
    <w:uiPriority w:val="99"/>
    <w:semiHidden/>
    <w:unhideWhenUsed/>
    <w:rsid w:val="006168CB"/>
    <w:rPr>
      <w:color w:val="605E5C"/>
      <w:shd w:val="clear" w:color="auto" w:fill="E1DFDD"/>
    </w:rPr>
  </w:style>
  <w:style w:type="paragraph" w:styleId="Header">
    <w:name w:val="header"/>
    <w:basedOn w:val="Normal"/>
    <w:link w:val="HeaderChar"/>
    <w:uiPriority w:val="99"/>
    <w:unhideWhenUsed/>
    <w:rsid w:val="00A90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9C"/>
  </w:style>
  <w:style w:type="paragraph" w:styleId="Footer">
    <w:name w:val="footer"/>
    <w:basedOn w:val="Normal"/>
    <w:link w:val="FooterChar"/>
    <w:uiPriority w:val="99"/>
    <w:unhideWhenUsed/>
    <w:rsid w:val="00A90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nytimes.com/1999/03/29/nyregion/the-diallo-shooting-the-stop-and-frisk-procedure-was-once-to-protect-the-police.html" TargetMode="External"/><Relationship Id="rId7" Type="http://schemas.openxmlformats.org/officeDocument/2006/relationships/hyperlink" Target="https://www.law.cornell.edu/supct/html/02-102.ZO.html" TargetMode="External"/><Relationship Id="rId8" Type="http://schemas.openxmlformats.org/officeDocument/2006/relationships/hyperlink" Target="https://www.law.cornell.edu/supremecourt/text/392/1"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1483</Words>
  <Characters>8454</Characters>
  <Application>Microsoft Macintosh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cp:revision>
  <dcterms:created xsi:type="dcterms:W3CDTF">2019-03-31T21:26:00Z</dcterms:created>
  <dcterms:modified xsi:type="dcterms:W3CDTF">2019-04-01T15:36:00Z</dcterms:modified>
</cp:coreProperties>
</file>